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0D0" w:rsidRPr="002C5EE0" w:rsidRDefault="007040D0" w:rsidP="007040D0">
      <w:pPr>
        <w:jc w:val="both"/>
        <w:rPr>
          <w:b/>
          <w:noProof/>
          <w:lang w:val="en-CA"/>
        </w:rPr>
      </w:pPr>
      <w:bookmarkStart w:id="0" w:name="_GoBack"/>
      <w:bookmarkEnd w:id="0"/>
      <w:r w:rsidRPr="002C5EE0">
        <w:rPr>
          <w:b/>
          <w:noProof/>
          <w:lang w:val="en-CA"/>
        </w:rPr>
        <w:t>Capital Cost Allowance Information</w:t>
      </w:r>
    </w:p>
    <w:p w:rsidR="007040D0" w:rsidRPr="002C5EE0" w:rsidRDefault="007040D0" w:rsidP="007040D0">
      <w:pPr>
        <w:jc w:val="both"/>
        <w:rPr>
          <w:noProof/>
          <w:lang w:val="en-CA"/>
        </w:rPr>
      </w:pPr>
      <w:r w:rsidRPr="002C5EE0">
        <w:rPr>
          <w:noProof/>
          <w:lang w:val="en-CA"/>
        </w:rPr>
        <w:t>An examination of the capital cost allowance schedule for 2011 provided the following opening balances as at October 1</w:t>
      </w:r>
      <w:r w:rsidRPr="002C5EE0">
        <w:rPr>
          <w:noProof/>
          <w:vertAlign w:val="superscript"/>
          <w:lang w:val="en-CA"/>
        </w:rPr>
        <w:t>st</w:t>
      </w:r>
      <w:r w:rsidRPr="002C5EE0">
        <w:rPr>
          <w:noProof/>
          <w:lang w:val="en-CA"/>
        </w:rPr>
        <w:t>, 2011 for the undepreciated capital cost for each class of Nart's assets:</w:t>
      </w:r>
    </w:p>
    <w:p w:rsidR="007040D0" w:rsidRPr="002C5EE0" w:rsidRDefault="007040D0" w:rsidP="007040D0">
      <w:pPr>
        <w:tabs>
          <w:tab w:val="left" w:pos="720"/>
          <w:tab w:val="left" w:pos="1440"/>
          <w:tab w:val="left" w:pos="2160"/>
          <w:tab w:val="left" w:pos="2880"/>
          <w:tab w:val="right" w:pos="8622"/>
        </w:tabs>
        <w:jc w:val="both"/>
        <w:rPr>
          <w:noProof/>
          <w:lang w:val="en-CA"/>
        </w:rPr>
      </w:pPr>
      <w:r w:rsidRPr="002C5EE0">
        <w:rPr>
          <w:noProof/>
          <w:lang w:val="en-CA"/>
        </w:rPr>
        <w:tab/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1341"/>
        <w:gridCol w:w="4330"/>
        <w:gridCol w:w="1278"/>
      </w:tblGrid>
      <w:tr w:rsidR="007040D0" w:rsidRPr="002C5EE0" w:rsidTr="00F36B73">
        <w:trPr>
          <w:trHeight w:val="270"/>
        </w:trPr>
        <w:tc>
          <w:tcPr>
            <w:tcW w:w="1341" w:type="dxa"/>
          </w:tcPr>
          <w:p w:rsidR="007040D0" w:rsidRPr="002C5EE0" w:rsidRDefault="007040D0" w:rsidP="00F36B73">
            <w:pPr>
              <w:jc w:val="both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Class 1</w:t>
            </w:r>
          </w:p>
        </w:tc>
        <w:tc>
          <w:tcPr>
            <w:tcW w:w="4330" w:type="dxa"/>
          </w:tcPr>
          <w:p w:rsidR="007040D0" w:rsidRPr="002C5EE0" w:rsidRDefault="007040D0" w:rsidP="00F36B73">
            <w:pPr>
              <w:tabs>
                <w:tab w:val="right" w:leader="dot" w:pos="3492"/>
              </w:tabs>
              <w:jc w:val="both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— building</w:t>
            </w:r>
            <w:r w:rsidRPr="002C5EE0">
              <w:rPr>
                <w:noProof/>
                <w:lang w:val="en-CA"/>
              </w:rPr>
              <w:tab/>
            </w:r>
          </w:p>
        </w:tc>
        <w:tc>
          <w:tcPr>
            <w:tcW w:w="1278" w:type="dxa"/>
          </w:tcPr>
          <w:p w:rsidR="007040D0" w:rsidRPr="002C5EE0" w:rsidRDefault="007040D0" w:rsidP="00F36B73">
            <w:pPr>
              <w:jc w:val="right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$175,000</w:t>
            </w:r>
          </w:p>
        </w:tc>
      </w:tr>
      <w:tr w:rsidR="007040D0" w:rsidRPr="002C5EE0" w:rsidTr="00F36B73">
        <w:trPr>
          <w:trHeight w:val="270"/>
        </w:trPr>
        <w:tc>
          <w:tcPr>
            <w:tcW w:w="1341" w:type="dxa"/>
          </w:tcPr>
          <w:p w:rsidR="007040D0" w:rsidRPr="002C5EE0" w:rsidRDefault="007040D0" w:rsidP="00F36B73">
            <w:pPr>
              <w:jc w:val="both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Class 8</w:t>
            </w:r>
          </w:p>
        </w:tc>
        <w:tc>
          <w:tcPr>
            <w:tcW w:w="4330" w:type="dxa"/>
          </w:tcPr>
          <w:p w:rsidR="007040D0" w:rsidRPr="002C5EE0" w:rsidRDefault="007040D0" w:rsidP="00F36B73">
            <w:pPr>
              <w:tabs>
                <w:tab w:val="right" w:leader="dot" w:pos="3492"/>
              </w:tabs>
              <w:jc w:val="both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— office furniture</w:t>
            </w:r>
            <w:r w:rsidRPr="002C5EE0">
              <w:rPr>
                <w:noProof/>
                <w:lang w:val="en-CA"/>
              </w:rPr>
              <w:tab/>
            </w:r>
          </w:p>
        </w:tc>
        <w:tc>
          <w:tcPr>
            <w:tcW w:w="1278" w:type="dxa"/>
          </w:tcPr>
          <w:p w:rsidR="007040D0" w:rsidRPr="002C5EE0" w:rsidRDefault="007040D0" w:rsidP="00F36B73">
            <w:pPr>
              <w:jc w:val="right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60,000</w:t>
            </w:r>
          </w:p>
        </w:tc>
      </w:tr>
      <w:tr w:rsidR="007040D0" w:rsidRPr="002C5EE0" w:rsidTr="00F36B73">
        <w:trPr>
          <w:trHeight w:val="541"/>
        </w:trPr>
        <w:tc>
          <w:tcPr>
            <w:tcW w:w="1341" w:type="dxa"/>
          </w:tcPr>
          <w:p w:rsidR="007040D0" w:rsidRPr="002C5EE0" w:rsidRDefault="007040D0" w:rsidP="00F36B73">
            <w:pPr>
              <w:jc w:val="both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Class 10.1</w:t>
            </w:r>
          </w:p>
        </w:tc>
        <w:tc>
          <w:tcPr>
            <w:tcW w:w="4330" w:type="dxa"/>
          </w:tcPr>
          <w:p w:rsidR="007040D0" w:rsidRPr="002C5EE0" w:rsidRDefault="007040D0" w:rsidP="00F36B73">
            <w:pPr>
              <w:tabs>
                <w:tab w:val="right" w:leader="dot" w:pos="3492"/>
              </w:tabs>
              <w:jc w:val="both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— vehicle</w:t>
            </w:r>
            <w:r w:rsidRPr="002C5EE0">
              <w:rPr>
                <w:noProof/>
                <w:lang w:val="en-CA"/>
              </w:rPr>
              <w:tab/>
            </w:r>
          </w:p>
        </w:tc>
        <w:tc>
          <w:tcPr>
            <w:tcW w:w="1278" w:type="dxa"/>
          </w:tcPr>
          <w:p w:rsidR="007040D0" w:rsidRPr="002C5EE0" w:rsidRDefault="007040D0" w:rsidP="00F36B73">
            <w:pPr>
              <w:jc w:val="right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80,000</w:t>
            </w:r>
          </w:p>
        </w:tc>
      </w:tr>
      <w:tr w:rsidR="007040D0" w:rsidRPr="002C5EE0" w:rsidTr="00F36B73">
        <w:trPr>
          <w:trHeight w:val="270"/>
        </w:trPr>
        <w:tc>
          <w:tcPr>
            <w:tcW w:w="1341" w:type="dxa"/>
          </w:tcPr>
          <w:p w:rsidR="007040D0" w:rsidRPr="002C5EE0" w:rsidRDefault="007040D0" w:rsidP="00F36B73">
            <w:pPr>
              <w:jc w:val="both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Class 13</w:t>
            </w:r>
          </w:p>
        </w:tc>
        <w:tc>
          <w:tcPr>
            <w:tcW w:w="4330" w:type="dxa"/>
          </w:tcPr>
          <w:p w:rsidR="007040D0" w:rsidRPr="002C5EE0" w:rsidRDefault="007040D0" w:rsidP="00F36B73">
            <w:pPr>
              <w:tabs>
                <w:tab w:val="right" w:leader="dot" w:pos="3492"/>
              </w:tabs>
              <w:jc w:val="both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— leasehold improvements</w:t>
            </w:r>
            <w:r w:rsidRPr="002C5EE0">
              <w:rPr>
                <w:noProof/>
                <w:lang w:val="en-CA"/>
              </w:rPr>
              <w:tab/>
            </w:r>
          </w:p>
        </w:tc>
        <w:tc>
          <w:tcPr>
            <w:tcW w:w="1278" w:type="dxa"/>
          </w:tcPr>
          <w:p w:rsidR="007040D0" w:rsidRPr="002C5EE0" w:rsidRDefault="007040D0" w:rsidP="00F36B73">
            <w:pPr>
              <w:jc w:val="right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150,000</w:t>
            </w:r>
          </w:p>
        </w:tc>
      </w:tr>
      <w:tr w:rsidR="007040D0" w:rsidRPr="002C5EE0" w:rsidTr="00F36B73">
        <w:trPr>
          <w:trHeight w:val="270"/>
        </w:trPr>
        <w:tc>
          <w:tcPr>
            <w:tcW w:w="1341" w:type="dxa"/>
          </w:tcPr>
          <w:p w:rsidR="007040D0" w:rsidRPr="002C5EE0" w:rsidRDefault="007040D0" w:rsidP="00F36B73">
            <w:pPr>
              <w:jc w:val="both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Class 29</w:t>
            </w:r>
          </w:p>
        </w:tc>
        <w:tc>
          <w:tcPr>
            <w:tcW w:w="4330" w:type="dxa"/>
          </w:tcPr>
          <w:p w:rsidR="007040D0" w:rsidRPr="002C5EE0" w:rsidRDefault="007040D0" w:rsidP="00F36B73">
            <w:pPr>
              <w:tabs>
                <w:tab w:val="right" w:leader="dot" w:pos="3492"/>
              </w:tabs>
              <w:jc w:val="both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— manufacturing equipment</w:t>
            </w:r>
            <w:r w:rsidRPr="002C5EE0">
              <w:rPr>
                <w:noProof/>
                <w:lang w:val="en-CA"/>
              </w:rPr>
              <w:tab/>
            </w:r>
          </w:p>
        </w:tc>
        <w:tc>
          <w:tcPr>
            <w:tcW w:w="1278" w:type="dxa"/>
          </w:tcPr>
          <w:p w:rsidR="007040D0" w:rsidRPr="002C5EE0" w:rsidRDefault="007040D0" w:rsidP="00F36B73">
            <w:pPr>
              <w:jc w:val="right"/>
              <w:rPr>
                <w:noProof/>
                <w:lang w:val="en-CA"/>
              </w:rPr>
            </w:pPr>
            <w:r w:rsidRPr="002C5EE0">
              <w:rPr>
                <w:noProof/>
                <w:lang w:val="en-CA"/>
              </w:rPr>
              <w:t>25,000</w:t>
            </w:r>
          </w:p>
        </w:tc>
      </w:tr>
      <w:tr w:rsidR="007040D0" w:rsidRPr="002C5EE0" w:rsidTr="00F36B73">
        <w:trPr>
          <w:trHeight w:val="270"/>
        </w:trPr>
        <w:tc>
          <w:tcPr>
            <w:tcW w:w="5671" w:type="dxa"/>
            <w:gridSpan w:val="2"/>
          </w:tcPr>
          <w:p w:rsidR="007040D0" w:rsidRPr="002C5EE0" w:rsidRDefault="007040D0" w:rsidP="00F36B73">
            <w:pPr>
              <w:tabs>
                <w:tab w:val="right" w:leader="dot" w:pos="4392"/>
              </w:tabs>
              <w:jc w:val="both"/>
              <w:rPr>
                <w:noProof/>
                <w:lang w:val="en-CA"/>
              </w:rPr>
            </w:pPr>
          </w:p>
        </w:tc>
        <w:tc>
          <w:tcPr>
            <w:tcW w:w="1278" w:type="dxa"/>
          </w:tcPr>
          <w:p w:rsidR="007040D0" w:rsidRPr="002C5EE0" w:rsidRDefault="007040D0" w:rsidP="00F36B73">
            <w:pPr>
              <w:jc w:val="right"/>
              <w:rPr>
                <w:noProof/>
                <w:lang w:val="en-CA"/>
              </w:rPr>
            </w:pPr>
          </w:p>
        </w:tc>
      </w:tr>
    </w:tbl>
    <w:p w:rsidR="007040D0" w:rsidRPr="002C5EE0" w:rsidRDefault="007040D0" w:rsidP="007040D0">
      <w:pPr>
        <w:tabs>
          <w:tab w:val="left" w:pos="720"/>
          <w:tab w:val="left" w:pos="1440"/>
          <w:tab w:val="left" w:pos="2160"/>
          <w:tab w:val="left" w:pos="2880"/>
          <w:tab w:val="right" w:pos="8622"/>
        </w:tabs>
        <w:jc w:val="both"/>
        <w:rPr>
          <w:noProof/>
          <w:lang w:val="en-CA"/>
        </w:rPr>
      </w:pPr>
    </w:p>
    <w:p w:rsidR="007040D0" w:rsidRPr="002C5EE0" w:rsidRDefault="007040D0" w:rsidP="007040D0">
      <w:pPr>
        <w:rPr>
          <w:noProof/>
          <w:lang w:val="en-CA"/>
        </w:rPr>
      </w:pPr>
      <w:r w:rsidRPr="002C5EE0">
        <w:rPr>
          <w:noProof/>
          <w:lang w:val="en-CA"/>
        </w:rPr>
        <w:t>The following additional information was found in the 2012 tax year fixed asset schedules working paper files.</w:t>
      </w:r>
    </w:p>
    <w:p w:rsidR="007040D0" w:rsidRPr="002C5EE0" w:rsidRDefault="007040D0" w:rsidP="007040D0">
      <w:pPr>
        <w:tabs>
          <w:tab w:val="left" w:pos="333"/>
        </w:tabs>
        <w:spacing w:before="120"/>
        <w:ind w:left="333" w:hanging="288"/>
        <w:rPr>
          <w:noProof/>
          <w:lang w:val="en-CA"/>
        </w:rPr>
      </w:pPr>
      <w:r w:rsidRPr="002C5EE0">
        <w:rPr>
          <w:noProof/>
          <w:lang w:val="en-CA"/>
        </w:rPr>
        <w:t>1.</w:t>
      </w:r>
      <w:r w:rsidRPr="002C5EE0">
        <w:rPr>
          <w:noProof/>
          <w:lang w:val="en-CA"/>
        </w:rPr>
        <w:tab/>
        <w:t>The building which cost</w:t>
      </w:r>
      <w:r w:rsidRPr="002C5EE0">
        <w:rPr>
          <w:noProof/>
          <w:lang w:val="en-CA" w:eastAsia="ko-KR"/>
        </w:rPr>
        <w:t>ed</w:t>
      </w:r>
      <w:r w:rsidRPr="002C5EE0">
        <w:rPr>
          <w:noProof/>
          <w:lang w:val="en-CA"/>
        </w:rPr>
        <w:t xml:space="preserve"> $250,000 in 2008 was sold for $200,000 (same as its net book value).  It was the only building in Class 1 at the time of its sale. A new building (100% to be used for manufacturing) and land were purchased in December 2011 for $500,000, of which $200,000 was allocated to the cost of the land and the remainder related to the building.</w:t>
      </w:r>
      <w:r w:rsidRPr="002C5EE0">
        <w:rPr>
          <w:rStyle w:val="FootnoteReference"/>
          <w:noProof/>
          <w:vertAlign w:val="superscript"/>
          <w:lang w:val="en-CA"/>
        </w:rPr>
        <w:footnoteReference w:id="1"/>
      </w:r>
      <w:r w:rsidRPr="002C5EE0">
        <w:rPr>
          <w:noProof/>
          <w:lang w:val="en-CA"/>
        </w:rPr>
        <w:t xml:space="preserve">   Also, in February 2012 a land adjacent to the new building was purchased for $271,000.  Nart erected a glass greenhouse costing $3,500 so that the employees can grow their own organic vegetables.   </w:t>
      </w:r>
    </w:p>
    <w:p w:rsidR="007040D0" w:rsidRPr="002C5EE0" w:rsidRDefault="007040D0" w:rsidP="007040D0">
      <w:pPr>
        <w:tabs>
          <w:tab w:val="left" w:pos="333"/>
        </w:tabs>
        <w:spacing w:before="120"/>
        <w:ind w:left="342" w:hanging="279"/>
        <w:rPr>
          <w:noProof/>
          <w:lang w:val="en-CA"/>
        </w:rPr>
      </w:pPr>
      <w:r w:rsidRPr="002C5EE0">
        <w:rPr>
          <w:noProof/>
          <w:lang w:val="en-CA"/>
        </w:rPr>
        <w:t>2.</w:t>
      </w:r>
      <w:r w:rsidRPr="002C5EE0">
        <w:rPr>
          <w:noProof/>
          <w:lang w:val="en-CA"/>
        </w:rPr>
        <w:tab/>
        <w:t xml:space="preserve">During the year, the company decided to trade in its old class 10.1 car for a </w:t>
      </w:r>
      <w:r>
        <w:rPr>
          <w:noProof/>
          <w:lang w:val="en-CA"/>
        </w:rPr>
        <w:t xml:space="preserve">souped-up </w:t>
      </w:r>
      <w:r w:rsidRPr="002C5EE0">
        <w:rPr>
          <w:noProof/>
          <w:lang w:val="en-CA"/>
        </w:rPr>
        <w:t xml:space="preserve">2012 </w:t>
      </w:r>
      <w:r>
        <w:rPr>
          <w:noProof/>
          <w:lang w:val="en-CA"/>
        </w:rPr>
        <w:t>Toyota Corolla (yes, it is an oxymoron)</w:t>
      </w:r>
      <w:r w:rsidRPr="002C5EE0">
        <w:rPr>
          <w:noProof/>
          <w:lang w:val="en-CA"/>
        </w:rPr>
        <w:t>.  The original cost of the old car was $108,000 and had a trade-in value of $</w:t>
      </w:r>
      <w:r>
        <w:rPr>
          <w:noProof/>
          <w:lang w:val="en-CA"/>
        </w:rPr>
        <w:t>35</w:t>
      </w:r>
      <w:r w:rsidRPr="002C5EE0">
        <w:rPr>
          <w:noProof/>
          <w:lang w:val="en-CA"/>
        </w:rPr>
        <w:t xml:space="preserve">,000 (equal to net book value).  The company </w:t>
      </w:r>
      <w:r>
        <w:rPr>
          <w:noProof/>
          <w:lang w:val="en-CA"/>
        </w:rPr>
        <w:t>paid $20</w:t>
      </w:r>
      <w:r w:rsidRPr="002C5EE0">
        <w:rPr>
          <w:noProof/>
          <w:lang w:val="en-CA"/>
        </w:rPr>
        <w:t xml:space="preserve">,000 </w:t>
      </w:r>
      <w:r>
        <w:rPr>
          <w:noProof/>
          <w:lang w:val="en-CA"/>
        </w:rPr>
        <w:t>to</w:t>
      </w:r>
      <w:r w:rsidRPr="002C5EE0">
        <w:rPr>
          <w:noProof/>
          <w:lang w:val="en-CA"/>
        </w:rPr>
        <w:t xml:space="preserve"> the dealership </w:t>
      </w:r>
      <w:r>
        <w:rPr>
          <w:noProof/>
          <w:lang w:val="en-CA"/>
        </w:rPr>
        <w:t>as a result of</w:t>
      </w:r>
      <w:r w:rsidRPr="002C5EE0">
        <w:rPr>
          <w:noProof/>
          <w:lang w:val="en-CA"/>
        </w:rPr>
        <w:t xml:space="preserve"> the trade-in.  The </w:t>
      </w:r>
      <w:r>
        <w:rPr>
          <w:noProof/>
          <w:lang w:val="en-CA"/>
        </w:rPr>
        <w:t>Corolla</w:t>
      </w:r>
      <w:r w:rsidRPr="002C5EE0">
        <w:rPr>
          <w:noProof/>
          <w:lang w:val="en-CA"/>
        </w:rPr>
        <w:t xml:space="preserve"> was used to drive clients from their hotel to the company’s premise</w:t>
      </w:r>
      <w:r>
        <w:rPr>
          <w:noProof/>
          <w:lang w:val="en-CA"/>
        </w:rPr>
        <w:t xml:space="preserve"> </w:t>
      </w:r>
      <w:r w:rsidRPr="002C5EE0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2C5EE0">
        <w:rPr>
          <w:noProof/>
          <w:lang w:val="en-CA"/>
        </w:rPr>
        <w:t xml:space="preserve"> </w:t>
      </w:r>
    </w:p>
    <w:p w:rsidR="007040D0" w:rsidRPr="002C5EE0" w:rsidRDefault="007040D0" w:rsidP="007040D0">
      <w:pPr>
        <w:tabs>
          <w:tab w:val="left" w:pos="360"/>
        </w:tabs>
        <w:spacing w:before="120"/>
        <w:ind w:left="342" w:hanging="270"/>
        <w:rPr>
          <w:noProof/>
          <w:lang w:val="en-CA"/>
        </w:rPr>
      </w:pPr>
      <w:r w:rsidRPr="002C5EE0">
        <w:rPr>
          <w:noProof/>
          <w:lang w:val="en-CA"/>
        </w:rPr>
        <w:t>3.</w:t>
      </w:r>
      <w:r w:rsidRPr="002C5EE0">
        <w:rPr>
          <w:noProof/>
          <w:lang w:val="en-CA"/>
        </w:rPr>
        <w:tab/>
      </w:r>
      <w:r w:rsidRPr="002C5EE0">
        <w:rPr>
          <w:noProof/>
          <w:lang w:val="en-CA"/>
        </w:rPr>
        <w:tab/>
        <w:t>Leasehold improvements had been made to a leased warehouse at a cost of $225,000 in 2009.  In 2009, the remaining length of the lease in</w:t>
      </w:r>
      <w:r>
        <w:rPr>
          <w:noProof/>
          <w:lang w:val="en-CA"/>
        </w:rPr>
        <w:t xml:space="preserve"> that year was six years with two</w:t>
      </w:r>
      <w:r w:rsidRPr="002C5EE0">
        <w:rPr>
          <w:noProof/>
          <w:lang w:val="en-CA"/>
        </w:rPr>
        <w:t xml:space="preserve"> renewal terms</w:t>
      </w:r>
      <w:r>
        <w:rPr>
          <w:noProof/>
          <w:lang w:val="en-CA"/>
        </w:rPr>
        <w:t xml:space="preserve"> of 10 years each</w:t>
      </w:r>
      <w:r w:rsidRPr="002C5EE0">
        <w:rPr>
          <w:noProof/>
          <w:lang w:val="en-CA"/>
        </w:rPr>
        <w:t>. Further leasehold improvements were made to this warehouse in 2011 at a cost of $21,000.  No improvements were made this year.</w:t>
      </w:r>
    </w:p>
    <w:p w:rsidR="007040D0" w:rsidRPr="002C5EE0" w:rsidRDefault="007040D0" w:rsidP="007040D0">
      <w:pPr>
        <w:tabs>
          <w:tab w:val="left" w:pos="360"/>
        </w:tabs>
        <w:spacing w:before="120"/>
        <w:ind w:left="342" w:hanging="270"/>
        <w:jc w:val="both"/>
        <w:rPr>
          <w:noProof/>
          <w:lang w:val="en-CA"/>
        </w:rPr>
      </w:pPr>
      <w:r w:rsidRPr="002C5EE0">
        <w:rPr>
          <w:noProof/>
          <w:lang w:val="en-CA"/>
        </w:rPr>
        <w:t>4.</w:t>
      </w:r>
      <w:r w:rsidRPr="002C5EE0">
        <w:rPr>
          <w:noProof/>
          <w:lang w:val="en-CA"/>
        </w:rPr>
        <w:tab/>
        <w:t>NEI decides to update its offices and lease all new office furniture.  NEI disposed of all its office furniture for $25,000.  The controller could not find the receipts to these office furnitures and therefore, their original cost is unknown.</w:t>
      </w:r>
    </w:p>
    <w:p w:rsidR="007040D0" w:rsidRPr="002C5EE0" w:rsidRDefault="007040D0" w:rsidP="007040D0">
      <w:pPr>
        <w:tabs>
          <w:tab w:val="left" w:pos="360"/>
        </w:tabs>
        <w:spacing w:before="120"/>
        <w:ind w:left="342" w:hanging="270"/>
        <w:jc w:val="both"/>
        <w:rPr>
          <w:bCs/>
          <w:iCs/>
        </w:rPr>
      </w:pPr>
      <w:r w:rsidRPr="002C5EE0">
        <w:rPr>
          <w:bCs/>
          <w:iCs/>
        </w:rPr>
        <w:t>5.</w:t>
      </w:r>
      <w:r w:rsidRPr="002C5EE0">
        <w:rPr>
          <w:bCs/>
          <w:iCs/>
        </w:rPr>
        <w:tab/>
        <w:t xml:space="preserve">Class 29 manufacturing equipment was purchased in the 2010 tax year for $100,000. </w:t>
      </w:r>
      <w:r>
        <w:rPr>
          <w:bCs/>
          <w:iCs/>
        </w:rPr>
        <w:t xml:space="preserve">  In 2012, all the manufacturing equipment was sold for $80,000.</w:t>
      </w:r>
    </w:p>
    <w:p w:rsidR="007040D0" w:rsidRPr="002C5EE0" w:rsidRDefault="007040D0" w:rsidP="007040D0">
      <w:pPr>
        <w:tabs>
          <w:tab w:val="left" w:pos="360"/>
        </w:tabs>
        <w:spacing w:before="120"/>
        <w:ind w:left="342" w:hanging="270"/>
        <w:jc w:val="both"/>
        <w:rPr>
          <w:bCs/>
          <w:iCs/>
        </w:rPr>
      </w:pPr>
      <w:r w:rsidRPr="002C5EE0">
        <w:rPr>
          <w:bCs/>
          <w:iCs/>
        </w:rPr>
        <w:t>6.  NEI has always taken the maximum CCA.</w:t>
      </w:r>
    </w:p>
    <w:p w:rsidR="00E452D9" w:rsidRDefault="00E452D9"/>
    <w:sectPr w:rsidR="00E452D9" w:rsidSect="00E452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38B" w:rsidRDefault="00F9438B" w:rsidP="007040D0">
      <w:r>
        <w:separator/>
      </w:r>
    </w:p>
  </w:endnote>
  <w:endnote w:type="continuationSeparator" w:id="0">
    <w:p w:rsidR="00F9438B" w:rsidRDefault="00F9438B" w:rsidP="00704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38B" w:rsidRDefault="00F9438B" w:rsidP="007040D0">
      <w:r>
        <w:separator/>
      </w:r>
    </w:p>
  </w:footnote>
  <w:footnote w:type="continuationSeparator" w:id="0">
    <w:p w:rsidR="00F9438B" w:rsidRDefault="00F9438B" w:rsidP="007040D0">
      <w:r>
        <w:continuationSeparator/>
      </w:r>
    </w:p>
  </w:footnote>
  <w:footnote w:id="1">
    <w:p w:rsidR="007040D0" w:rsidRPr="00B521EC" w:rsidRDefault="007040D0" w:rsidP="007040D0">
      <w:pPr>
        <w:pStyle w:val="FootnoteText"/>
        <w:rPr>
          <w:sz w:val="12"/>
          <w:szCs w:val="12"/>
          <w:lang w:val="en-CA"/>
        </w:rPr>
      </w:pPr>
      <w:r w:rsidRPr="00B521EC">
        <w:rPr>
          <w:rStyle w:val="FootnoteReference"/>
          <w:sz w:val="12"/>
          <w:szCs w:val="12"/>
        </w:rPr>
        <w:footnoteRef/>
      </w:r>
      <w:r w:rsidRPr="00B521EC">
        <w:rPr>
          <w:sz w:val="12"/>
          <w:szCs w:val="12"/>
        </w:rPr>
        <w:t xml:space="preserve"> </w:t>
      </w:r>
      <w:r w:rsidRPr="00B521EC">
        <w:rPr>
          <w:sz w:val="12"/>
          <w:szCs w:val="12"/>
          <w:lang w:val="en-CA"/>
        </w:rPr>
        <w:t>Hint:  You may not</w:t>
      </w:r>
      <w:r>
        <w:rPr>
          <w:sz w:val="12"/>
          <w:szCs w:val="12"/>
          <w:lang w:val="en-CA"/>
        </w:rPr>
        <w:t xml:space="preserve"> want to elect</w:t>
      </w:r>
      <w:r w:rsidRPr="00B521EC">
        <w:rPr>
          <w:sz w:val="12"/>
          <w:szCs w:val="12"/>
          <w:lang w:val="en-CA"/>
        </w:rPr>
        <w:t xml:space="preserve"> the new building in a separate class, by doing so you will create a recapture on the disposition of the old building.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0D0"/>
    <w:rsid w:val="0004376C"/>
    <w:rsid w:val="00064985"/>
    <w:rsid w:val="00235629"/>
    <w:rsid w:val="00674FC9"/>
    <w:rsid w:val="007040D0"/>
    <w:rsid w:val="00802E71"/>
    <w:rsid w:val="00AB06DF"/>
    <w:rsid w:val="00E452D9"/>
    <w:rsid w:val="00F9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0D0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040D0"/>
  </w:style>
  <w:style w:type="paragraph" w:styleId="FootnoteText">
    <w:name w:val="footnote text"/>
    <w:basedOn w:val="Normal"/>
    <w:link w:val="FootnoteTextChar"/>
    <w:semiHidden/>
    <w:rsid w:val="007040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040D0"/>
    <w:rPr>
      <w:rFonts w:ascii="Times New Roman" w:eastAsia="Malgun Gothic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0D0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040D0"/>
  </w:style>
  <w:style w:type="paragraph" w:styleId="FootnoteText">
    <w:name w:val="footnote text"/>
    <w:basedOn w:val="Normal"/>
    <w:link w:val="FootnoteTextChar"/>
    <w:semiHidden/>
    <w:rsid w:val="007040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040D0"/>
    <w:rPr>
      <w:rFonts w:ascii="Times New Roman" w:eastAsia="Malgun Gothic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1936</Characters>
  <Application>Microsoft Macintosh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</dc:creator>
  <cp:lastModifiedBy>Dexter Lee</cp:lastModifiedBy>
  <cp:revision>2</cp:revision>
  <dcterms:created xsi:type="dcterms:W3CDTF">2013-03-06T18:11:00Z</dcterms:created>
  <dcterms:modified xsi:type="dcterms:W3CDTF">2013-03-06T18:11:00Z</dcterms:modified>
</cp:coreProperties>
</file>